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40256"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 For someone with a prolactinoma, what diet, supplements, or lifestyle changes do you recommend?</w:t>
      </w:r>
    </w:p>
    <w:p w14:paraId="5C2A6F7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 cornerstone of prolactinoma treatment is not a particular diet or supplement; it is appropriate endocrine management, most commonly with a dopamine agonist such as cabergoline. These medicines are highly effective for most patients at lowering prolactin and shrinking the tumor. </w:t>
      </w:r>
      <w:hyperlink r:id="rId4" w:history="1">
        <w:r w:rsidRPr="00910D11">
          <w:rPr>
            <w:rFonts w:ascii="Times New Roman" w:eastAsia="Times New Roman" w:hAnsi="Times New Roman" w:cs="Times New Roman"/>
            <w:color w:val="0000FF"/>
            <w:kern w:val="0"/>
            <w:u w:val="single"/>
            <w14:ligatures w14:val="none"/>
          </w:rPr>
          <w:t>Nature</w:t>
        </w:r>
      </w:hyperlink>
    </w:p>
    <w:p w14:paraId="6301FF7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From an integrative perspective, I would focus on </w:t>
      </w:r>
      <w:r w:rsidRPr="00910D11">
        <w:rPr>
          <w:rFonts w:ascii="Times New Roman" w:eastAsia="Times New Roman" w:hAnsi="Times New Roman" w:cs="Times New Roman"/>
          <w:b/>
          <w:bCs/>
          <w:color w:val="000000"/>
          <w:kern w:val="0"/>
          <w14:ligatures w14:val="none"/>
        </w:rPr>
        <w:t>overall metabolic and bone health</w:t>
      </w:r>
      <w:r w:rsidRPr="00910D11">
        <w:rPr>
          <w:rFonts w:ascii="Times New Roman" w:eastAsia="Times New Roman" w:hAnsi="Times New Roman" w:cs="Times New Roman"/>
          <w:color w:val="000000"/>
          <w:kern w:val="0"/>
          <w14:ligatures w14:val="none"/>
        </w:rPr>
        <w:t>: a Mediterranean-style diet rich in vegetables, fruit, legumes, whole grains, nuts, healthy fats and adequate protein; regular weight-bearing/resistance exercise; good sleep; and maintaining a healthy weight. Because prolonged hyperprolactinemia and hypogonadism can affect bone density, calcium intake and vitamin D status deserve attention—but I would supplement vitamin D based on deficiency/risk rather than automatically prescribing high doses.</w:t>
      </w:r>
    </w:p>
    <w:p w14:paraId="5EB35C83"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would be cautious with herbal products marketed as “hormone balancing” or “dopamine boosting.” There is no supplement proven to shrink a prolactinoma, and some products can interact with medications or endocrine function.</w:t>
      </w:r>
    </w:p>
    <w:p w14:paraId="21F10255"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2. What does integrative oncology involve?</w:t>
      </w:r>
    </w:p>
    <w:p w14:paraId="35F32A3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suspect “integrated oncology development” was intended to refer to </w:t>
      </w:r>
      <w:r w:rsidRPr="00910D11">
        <w:rPr>
          <w:rFonts w:ascii="Times New Roman" w:eastAsia="Times New Roman" w:hAnsi="Times New Roman" w:cs="Times New Roman"/>
          <w:b/>
          <w:bCs/>
          <w:color w:val="000000"/>
          <w:kern w:val="0"/>
          <w14:ligatures w14:val="none"/>
        </w:rPr>
        <w:t>integrative oncology</w:t>
      </w:r>
      <w:r w:rsidRPr="00910D11">
        <w:rPr>
          <w:rFonts w:ascii="Times New Roman" w:eastAsia="Times New Roman" w:hAnsi="Times New Roman" w:cs="Times New Roman"/>
          <w:color w:val="000000"/>
          <w:kern w:val="0"/>
          <w14:ligatures w14:val="none"/>
        </w:rPr>
        <w:t>. It does not mean replacing chemotherapy, radiation, surgery or targeted treatment with alternative medicine.</w:t>
      </w:r>
    </w:p>
    <w:p w14:paraId="4CA6F6F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 Society for Integrative Oncology defines it as patient-centered, evidence-informed cancer care combining conventional treatment with appropriate lifestyle, mind-body and complementary approaches. </w:t>
      </w:r>
      <w:hyperlink r:id="rId5" w:history="1">
        <w:r w:rsidRPr="00910D11">
          <w:rPr>
            <w:rFonts w:ascii="Times New Roman" w:eastAsia="Times New Roman" w:hAnsi="Times New Roman" w:cs="Times New Roman"/>
            <w:color w:val="0000FF"/>
            <w:kern w:val="0"/>
            <w:u w:val="single"/>
            <w14:ligatures w14:val="none"/>
          </w:rPr>
          <w:t>ASCO Publications</w:t>
        </w:r>
      </w:hyperlink>
    </w:p>
    <w:p w14:paraId="3C5E298B"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In my conception, it means treating the </w:t>
      </w:r>
      <w:r w:rsidRPr="00910D11">
        <w:rPr>
          <w:rFonts w:ascii="Times New Roman" w:eastAsia="Times New Roman" w:hAnsi="Times New Roman" w:cs="Times New Roman"/>
          <w:b/>
          <w:bCs/>
          <w:color w:val="000000"/>
          <w:kern w:val="0"/>
          <w14:ligatures w14:val="none"/>
        </w:rPr>
        <w:t>whole person rather than just the MRI</w:t>
      </w:r>
      <w:r w:rsidRPr="00910D11">
        <w:rPr>
          <w:rFonts w:ascii="Times New Roman" w:eastAsia="Times New Roman" w:hAnsi="Times New Roman" w:cs="Times New Roman"/>
          <w:color w:val="000000"/>
          <w:kern w:val="0"/>
          <w14:ligatures w14:val="none"/>
        </w:rPr>
        <w:t xml:space="preserve">: nutrition, physical activity, sleep, psychological health, mindfulness, acupuncture where appropriate, rehabilitation, symptom management, social and spiritual needs—and careful evaluation of supplements and complementary treatments for evidence, interactions and safety. There is meaningful evidence for interventions such as mindfulness, exercise, CBT, tai chi/qigong and selected other approaches for </w:t>
      </w:r>
      <w:proofErr w:type="gramStart"/>
      <w:r w:rsidRPr="00910D11">
        <w:rPr>
          <w:rFonts w:ascii="Times New Roman" w:eastAsia="Times New Roman" w:hAnsi="Times New Roman" w:cs="Times New Roman"/>
          <w:color w:val="000000"/>
          <w:kern w:val="0"/>
          <w14:ligatures w14:val="none"/>
        </w:rPr>
        <w:t>particular cancer-related</w:t>
      </w:r>
      <w:proofErr w:type="gramEnd"/>
      <w:r w:rsidRPr="00910D11">
        <w:rPr>
          <w:rFonts w:ascii="Times New Roman" w:eastAsia="Times New Roman" w:hAnsi="Times New Roman" w:cs="Times New Roman"/>
          <w:color w:val="000000"/>
          <w:kern w:val="0"/>
          <w14:ligatures w14:val="none"/>
        </w:rPr>
        <w:t xml:space="preserve"> symptoms. </w:t>
      </w:r>
      <w:hyperlink r:id="rId6" w:history="1">
        <w:r w:rsidRPr="00910D11">
          <w:rPr>
            <w:rFonts w:ascii="Times New Roman" w:eastAsia="Times New Roman" w:hAnsi="Times New Roman" w:cs="Times New Roman"/>
            <w:color w:val="0000FF"/>
            <w:kern w:val="0"/>
            <w:u w:val="single"/>
            <w14:ligatures w14:val="none"/>
          </w:rPr>
          <w:t>ASCO Publications</w:t>
        </w:r>
      </w:hyperlink>
    </w:p>
    <w:p w14:paraId="036C86FA"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3. GBM involving both hemispheres, with treatment unavailable in the UK—could treatment be available elsewhere?</w:t>
      </w:r>
    </w:p>
    <w:p w14:paraId="7582D14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Potentially, yes—but I would need to review the pathology, molecular profile, MRI, previous treatments, performance status and reason treatment was declined in the UK.</w:t>
      </w:r>
    </w:p>
    <w:p w14:paraId="36A2797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Disease involving both hemispheres may make surgery difficult or impossible, but </w:t>
      </w:r>
      <w:r w:rsidRPr="00910D11">
        <w:rPr>
          <w:rFonts w:ascii="Times New Roman" w:eastAsia="Times New Roman" w:hAnsi="Times New Roman" w:cs="Times New Roman"/>
          <w:b/>
          <w:bCs/>
          <w:color w:val="000000"/>
          <w:kern w:val="0"/>
          <w14:ligatures w14:val="none"/>
        </w:rPr>
        <w:t xml:space="preserve">inoperability does not automatically mean </w:t>
      </w:r>
      <w:proofErr w:type="spellStart"/>
      <w:r w:rsidRPr="00910D11">
        <w:rPr>
          <w:rFonts w:ascii="Times New Roman" w:eastAsia="Times New Roman" w:hAnsi="Times New Roman" w:cs="Times New Roman"/>
          <w:b/>
          <w:bCs/>
          <w:color w:val="000000"/>
          <w:kern w:val="0"/>
          <w14:ligatures w14:val="none"/>
        </w:rPr>
        <w:t>untreatability</w:t>
      </w:r>
      <w:proofErr w:type="spellEnd"/>
      <w:r w:rsidRPr="00910D11">
        <w:rPr>
          <w:rFonts w:ascii="Times New Roman" w:eastAsia="Times New Roman" w:hAnsi="Times New Roman" w:cs="Times New Roman"/>
          <w:color w:val="000000"/>
          <w:kern w:val="0"/>
          <w14:ligatures w14:val="none"/>
        </w:rPr>
        <w:t>. Depending upon the circumstances, options can include radiation, systemic therapy, tumor-treating fields in appropriate settings, re-irradiation or other salvage approaches, and clinical trials.</w:t>
      </w:r>
    </w:p>
    <w:p w14:paraId="12199AD4"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lastRenderedPageBreak/>
        <w:t>For someone seeking treatment internationally, I would recommend a </w:t>
      </w:r>
      <w:r w:rsidRPr="00910D11">
        <w:rPr>
          <w:rFonts w:ascii="Times New Roman" w:eastAsia="Times New Roman" w:hAnsi="Times New Roman" w:cs="Times New Roman"/>
          <w:b/>
          <w:bCs/>
          <w:color w:val="000000"/>
          <w:kern w:val="0"/>
          <w14:ligatures w14:val="none"/>
        </w:rPr>
        <w:t>formal remote second opinion from a high-volume neuro-oncology center before traveling</w:t>
      </w:r>
      <w:r w:rsidRPr="00910D11">
        <w:rPr>
          <w:rFonts w:ascii="Times New Roman" w:eastAsia="Times New Roman" w:hAnsi="Times New Roman" w:cs="Times New Roman"/>
          <w:color w:val="000000"/>
          <w:kern w:val="0"/>
          <w14:ligatures w14:val="none"/>
        </w:rPr>
        <w:t xml:space="preserve">. The center can review the actual imaging and pathology and determine trial eligibility. The NCI database alone currently lists </w:t>
      </w:r>
      <w:proofErr w:type="gramStart"/>
      <w:r w:rsidRPr="00910D11">
        <w:rPr>
          <w:rFonts w:ascii="Times New Roman" w:eastAsia="Times New Roman" w:hAnsi="Times New Roman" w:cs="Times New Roman"/>
          <w:color w:val="000000"/>
          <w:kern w:val="0"/>
          <w14:ligatures w14:val="none"/>
        </w:rPr>
        <w:t>a large number of</w:t>
      </w:r>
      <w:proofErr w:type="gramEnd"/>
      <w:r w:rsidRPr="00910D11">
        <w:rPr>
          <w:rFonts w:ascii="Times New Roman" w:eastAsia="Times New Roman" w:hAnsi="Times New Roman" w:cs="Times New Roman"/>
          <w:color w:val="000000"/>
          <w:kern w:val="0"/>
          <w14:ligatures w14:val="none"/>
        </w:rPr>
        <w:t xml:space="preserve"> glioma treatment trials, illustrating how much investigational activity exists. </w:t>
      </w:r>
      <w:hyperlink r:id="rId7" w:history="1">
        <w:r w:rsidRPr="00910D11">
          <w:rPr>
            <w:rFonts w:ascii="Times New Roman" w:eastAsia="Times New Roman" w:hAnsi="Times New Roman" w:cs="Times New Roman"/>
            <w:color w:val="0000FF"/>
            <w:kern w:val="0"/>
            <w:u w:val="single"/>
            <w14:ligatures w14:val="none"/>
          </w:rPr>
          <w:t>Cancer.gov</w:t>
        </w:r>
      </w:hyperlink>
    </w:p>
    <w:p w14:paraId="7B55620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 goal should not be simply to find a country willing to give </w:t>
      </w:r>
      <w:r w:rsidRPr="00910D11">
        <w:rPr>
          <w:rFonts w:ascii="Times New Roman" w:eastAsia="Times New Roman" w:hAnsi="Times New Roman" w:cs="Times New Roman"/>
          <w:i/>
          <w:iCs/>
          <w:color w:val="000000"/>
          <w:kern w:val="0"/>
          <w14:ligatures w14:val="none"/>
        </w:rPr>
        <w:t>something</w:t>
      </w:r>
      <w:r w:rsidRPr="00910D11">
        <w:rPr>
          <w:rFonts w:ascii="Times New Roman" w:eastAsia="Times New Roman" w:hAnsi="Times New Roman" w:cs="Times New Roman"/>
          <w:color w:val="000000"/>
          <w:kern w:val="0"/>
          <w14:ligatures w14:val="none"/>
        </w:rPr>
        <w:t>. It should be to identify a scientifically credible treatment or trial with a reasonable benefit-risk balance.</w:t>
      </w:r>
    </w:p>
    <w:p w14:paraId="159E6410"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4 &amp; 15. What do you tell patients who ask about ivermectin?</w:t>
      </w:r>
    </w:p>
    <w:p w14:paraId="7871723B"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 xml:space="preserve">I would never ridicule someone for asking about ivermectin. </w:t>
      </w:r>
      <w:proofErr w:type="gramStart"/>
      <w:r w:rsidRPr="00910D11">
        <w:rPr>
          <w:rFonts w:ascii="Times New Roman" w:eastAsia="Times New Roman" w:hAnsi="Times New Roman" w:cs="Times New Roman"/>
          <w:color w:val="000000"/>
          <w:kern w:val="0"/>
          <w14:ligatures w14:val="none"/>
        </w:rPr>
        <w:t>Usually</w:t>
      </w:r>
      <w:proofErr w:type="gramEnd"/>
      <w:r w:rsidRPr="00910D11">
        <w:rPr>
          <w:rFonts w:ascii="Times New Roman" w:eastAsia="Times New Roman" w:hAnsi="Times New Roman" w:cs="Times New Roman"/>
          <w:color w:val="000000"/>
          <w:kern w:val="0"/>
          <w14:ligatures w14:val="none"/>
        </w:rPr>
        <w:t xml:space="preserve"> they are asking because they are frightened and have encountered compelling laboratory data, testimonials or social-media stories.</w:t>
      </w:r>
    </w:p>
    <w:p w14:paraId="3338390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would say: </w:t>
      </w:r>
      <w:r w:rsidRPr="00910D11">
        <w:rPr>
          <w:rFonts w:ascii="Times New Roman" w:eastAsia="Times New Roman" w:hAnsi="Times New Roman" w:cs="Times New Roman"/>
          <w:b/>
          <w:bCs/>
          <w:color w:val="000000"/>
          <w:kern w:val="0"/>
          <w14:ligatures w14:val="none"/>
        </w:rPr>
        <w:t>ivermectin has interesting anticancer effects in laboratory models, but laboratory activity is not the same as demonstrating that a drug treats cancer in humans. We currently do not have adequate clinical evidence showing that ivermectin improves survival or controls GBM or other cancers.</w:t>
      </w:r>
      <w:r w:rsidRPr="00910D11">
        <w:rPr>
          <w:rFonts w:ascii="Times New Roman" w:eastAsia="Times New Roman" w:hAnsi="Times New Roman" w:cs="Times New Roman"/>
          <w:color w:val="000000"/>
          <w:kern w:val="0"/>
          <w14:ligatures w14:val="none"/>
        </w:rPr>
        <w:t> Cancer Research UK similarly notes the absence of evidence establishing ivermectin as an anticancer treatment. </w:t>
      </w:r>
      <w:hyperlink r:id="rId8" w:history="1">
        <w:r w:rsidRPr="00910D11">
          <w:rPr>
            <w:rFonts w:ascii="Times New Roman" w:eastAsia="Times New Roman" w:hAnsi="Times New Roman" w:cs="Times New Roman"/>
            <w:color w:val="0000FF"/>
            <w:kern w:val="0"/>
            <w:u w:val="single"/>
            <w14:ligatures w14:val="none"/>
          </w:rPr>
          <w:t>Cancer Chat</w:t>
        </w:r>
      </w:hyperlink>
    </w:p>
    <w:p w14:paraId="0EF04AC3"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proofErr w:type="gramStart"/>
      <w:r w:rsidRPr="00910D11">
        <w:rPr>
          <w:rFonts w:ascii="Times New Roman" w:eastAsia="Times New Roman" w:hAnsi="Times New Roman" w:cs="Times New Roman"/>
          <w:color w:val="000000"/>
          <w:kern w:val="0"/>
          <w14:ligatures w14:val="none"/>
        </w:rPr>
        <w:t>So</w:t>
      </w:r>
      <w:proofErr w:type="gramEnd"/>
      <w:r w:rsidRPr="00910D11">
        <w:rPr>
          <w:rFonts w:ascii="Times New Roman" w:eastAsia="Times New Roman" w:hAnsi="Times New Roman" w:cs="Times New Roman"/>
          <w:color w:val="000000"/>
          <w:kern w:val="0"/>
          <w14:ligatures w14:val="none"/>
        </w:rPr>
        <w:t xml:space="preserve"> I would not recommend ivermectin as cancer treatment outside an appropriately designed clinical trial. I would especially discourage veterinary preparations or self-prescribing.</w:t>
      </w:r>
    </w:p>
    <w:p w14:paraId="3370DB6E"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But I would also say: </w:t>
      </w:r>
      <w:r w:rsidRPr="00910D11">
        <w:rPr>
          <w:rFonts w:ascii="Times New Roman" w:eastAsia="Times New Roman" w:hAnsi="Times New Roman" w:cs="Times New Roman"/>
          <w:i/>
          <w:iCs/>
          <w:color w:val="000000"/>
          <w:kern w:val="0"/>
          <w14:ligatures w14:val="none"/>
        </w:rPr>
        <w:t>bring me what you have read</w:t>
      </w:r>
      <w:r w:rsidRPr="00910D11">
        <w:rPr>
          <w:rFonts w:ascii="Times New Roman" w:eastAsia="Times New Roman" w:hAnsi="Times New Roman" w:cs="Times New Roman"/>
          <w:color w:val="000000"/>
          <w:kern w:val="0"/>
          <w14:ligatures w14:val="none"/>
        </w:rPr>
        <w:t>. We can examine the paper together. That conversation is far better than driving patients underground, where their oncology team may never learn what they are taking.</w:t>
      </w:r>
    </w:p>
    <w:p w14:paraId="0B9ED478"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5. How can treatment and clinical trials improve quality of life?</w:t>
      </w:r>
    </w:p>
    <w:p w14:paraId="6749BA5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We sometimes create a false distinction between </w:t>
      </w:r>
      <w:r w:rsidRPr="00910D11">
        <w:rPr>
          <w:rFonts w:ascii="Times New Roman" w:eastAsia="Times New Roman" w:hAnsi="Times New Roman" w:cs="Times New Roman"/>
          <w:b/>
          <w:bCs/>
          <w:color w:val="000000"/>
          <w:kern w:val="0"/>
          <w14:ligatures w14:val="none"/>
        </w:rPr>
        <w:t>living longer and living better</w:t>
      </w:r>
      <w:r w:rsidRPr="00910D11">
        <w:rPr>
          <w:rFonts w:ascii="Times New Roman" w:eastAsia="Times New Roman" w:hAnsi="Times New Roman" w:cs="Times New Roman"/>
          <w:color w:val="000000"/>
          <w:kern w:val="0"/>
          <w14:ligatures w14:val="none"/>
        </w:rPr>
        <w:t>. Good cancer treatment should try to achieve both.</w:t>
      </w:r>
    </w:p>
    <w:p w14:paraId="127E5EAB"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A treatment that shrinks a brain tumor may improve speech, strength, cognition, seizures or headaches and allow dexamethasone to be reduced. A clinical trial can provide access to a promising treatment while also generating knowledge for future patients.</w:t>
      </w:r>
    </w:p>
    <w:p w14:paraId="15028F67"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But trials should increasingly measure more than progression-free and overall survival. I want to know: </w:t>
      </w:r>
      <w:r w:rsidRPr="00910D11">
        <w:rPr>
          <w:rFonts w:ascii="Times New Roman" w:eastAsia="Times New Roman" w:hAnsi="Times New Roman" w:cs="Times New Roman"/>
          <w:i/>
          <w:iCs/>
          <w:color w:val="000000"/>
          <w:kern w:val="0"/>
          <w14:ligatures w14:val="none"/>
        </w:rPr>
        <w:t>Can the patient walk? Think? Work? Sleep? Spend meaningful time with family? Did steroid requirements decrease? What happened to cognition and fatigue?</w:t>
      </w:r>
    </w:p>
    <w:p w14:paraId="1E442E9F"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Early supportive and palliative care belongs alongside active neuro-oncology—not simply at the end of life. </w:t>
      </w:r>
      <w:hyperlink r:id="rId9" w:history="1">
        <w:r w:rsidRPr="00910D11">
          <w:rPr>
            <w:rFonts w:ascii="Times New Roman" w:eastAsia="Times New Roman" w:hAnsi="Times New Roman" w:cs="Times New Roman"/>
            <w:color w:val="0000FF"/>
            <w:kern w:val="0"/>
            <w:u w:val="single"/>
            <w14:ligatures w14:val="none"/>
          </w:rPr>
          <w:t>EANO</w:t>
        </w:r>
      </w:hyperlink>
    </w:p>
    <w:p w14:paraId="38BD5930"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6. How do you support a 10-year GBM survivor?</w:t>
      </w:r>
    </w:p>
    <w:p w14:paraId="53134E98"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lastRenderedPageBreak/>
        <w:t>First, I would recognize that reaching ten years after a GBM diagnosis is extraordinary and worth celebrating.</w:t>
      </w:r>
    </w:p>
    <w:p w14:paraId="26BAF3F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But survivorship is not simply “your MRI is stable—see you in six months.” Long-term survivors may experience cognitive changes, seizures, fatigue, endocrine problems, neuropathy, vascular effects of radiation, psychological distress, employment difficulties and fear surrounding every surveillance MRI. Late treatment effects can emerge years afterward. </w:t>
      </w:r>
      <w:hyperlink r:id="rId10" w:history="1">
        <w:r w:rsidRPr="00910D11">
          <w:rPr>
            <w:rFonts w:ascii="Times New Roman" w:eastAsia="Times New Roman" w:hAnsi="Times New Roman" w:cs="Times New Roman"/>
            <w:color w:val="0000FF"/>
            <w:kern w:val="0"/>
            <w:u w:val="single"/>
            <w14:ligatures w14:val="none"/>
          </w:rPr>
          <w:t>NICE</w:t>
        </w:r>
      </w:hyperlink>
    </w:p>
    <w:p w14:paraId="6D2EF16C"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favor a survivorship approach incorporating neurological examination, imaging, medication review, neuropsychological assessment where appropriate, rehabilitation, exercise, sleep and mental-health support, endocrine evaluation when indicated, vascular risk reduction and attention to relationships, work and purpose.</w:t>
      </w:r>
    </w:p>
    <w:p w14:paraId="3CF0A522"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7. What is known about ONC201/206 in pediatric “DIMG”?</w:t>
      </w:r>
    </w:p>
    <w:p w14:paraId="76FBEE94"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would first clarify that the registrant probably means </w:t>
      </w:r>
      <w:r w:rsidRPr="00910D11">
        <w:rPr>
          <w:rFonts w:ascii="Times New Roman" w:eastAsia="Times New Roman" w:hAnsi="Times New Roman" w:cs="Times New Roman"/>
          <w:b/>
          <w:bCs/>
          <w:color w:val="000000"/>
          <w:kern w:val="0"/>
          <w14:ligatures w14:val="none"/>
        </w:rPr>
        <w:t>diffuse midline glioma (DMG)</w:t>
      </w:r>
      <w:r w:rsidRPr="00910D11">
        <w:rPr>
          <w:rFonts w:ascii="Times New Roman" w:eastAsia="Times New Roman" w:hAnsi="Times New Roman" w:cs="Times New Roman"/>
          <w:color w:val="000000"/>
          <w:kern w:val="0"/>
          <w14:ligatures w14:val="none"/>
        </w:rPr>
        <w:t>, perhaps H3 K27-altered DMG.</w:t>
      </w:r>
    </w:p>
    <w:p w14:paraId="39FC8CD1"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There has been a major development here. ONC201 is now known as </w:t>
      </w:r>
      <w:proofErr w:type="spellStart"/>
      <w:r w:rsidRPr="00910D11">
        <w:rPr>
          <w:rFonts w:ascii="Times New Roman" w:eastAsia="Times New Roman" w:hAnsi="Times New Roman" w:cs="Times New Roman"/>
          <w:b/>
          <w:bCs/>
          <w:color w:val="000000"/>
          <w:kern w:val="0"/>
          <w14:ligatures w14:val="none"/>
        </w:rPr>
        <w:t>dordaviprone</w:t>
      </w:r>
      <w:proofErr w:type="spellEnd"/>
      <w:r w:rsidRPr="00910D11">
        <w:rPr>
          <w:rFonts w:ascii="Times New Roman" w:eastAsia="Times New Roman" w:hAnsi="Times New Roman" w:cs="Times New Roman"/>
          <w:b/>
          <w:bCs/>
          <w:color w:val="000000"/>
          <w:kern w:val="0"/>
          <w14:ligatures w14:val="none"/>
        </w:rPr>
        <w:t xml:space="preserve"> (</w:t>
      </w:r>
      <w:proofErr w:type="spellStart"/>
      <w:r w:rsidRPr="00910D11">
        <w:rPr>
          <w:rFonts w:ascii="Times New Roman" w:eastAsia="Times New Roman" w:hAnsi="Times New Roman" w:cs="Times New Roman"/>
          <w:b/>
          <w:bCs/>
          <w:color w:val="000000"/>
          <w:kern w:val="0"/>
          <w14:ligatures w14:val="none"/>
        </w:rPr>
        <w:t>Modeyso</w:t>
      </w:r>
      <w:proofErr w:type="spellEnd"/>
      <w:r w:rsidRPr="00910D11">
        <w:rPr>
          <w:rFonts w:ascii="Times New Roman" w:eastAsia="Times New Roman" w:hAnsi="Times New Roman" w:cs="Times New Roman"/>
          <w:b/>
          <w:bCs/>
          <w:color w:val="000000"/>
          <w:kern w:val="0"/>
          <w14:ligatures w14:val="none"/>
        </w:rPr>
        <w:t>)</w:t>
      </w:r>
      <w:r w:rsidRPr="00910D11">
        <w:rPr>
          <w:rFonts w:ascii="Times New Roman" w:eastAsia="Times New Roman" w:hAnsi="Times New Roman" w:cs="Times New Roman"/>
          <w:color w:val="000000"/>
          <w:kern w:val="0"/>
          <w14:ligatures w14:val="none"/>
        </w:rPr>
        <w:t>. In August 2025, the FDA granted accelerated approval for adults and children aged one year and older with progressive H3 K27M-mutant diffuse midline glioma after prior therapy—the first FDA-approved systemic treatment for this molecularly defined disease. In the 50-patient efficacy population, the objective response rate was </w:t>
      </w:r>
      <w:r w:rsidRPr="00910D11">
        <w:rPr>
          <w:rFonts w:ascii="Times New Roman" w:eastAsia="Times New Roman" w:hAnsi="Times New Roman" w:cs="Times New Roman"/>
          <w:b/>
          <w:bCs/>
          <w:color w:val="000000"/>
          <w:kern w:val="0"/>
          <w14:ligatures w14:val="none"/>
        </w:rPr>
        <w:t>22%</w:t>
      </w:r>
      <w:r w:rsidRPr="00910D11">
        <w:rPr>
          <w:rFonts w:ascii="Times New Roman" w:eastAsia="Times New Roman" w:hAnsi="Times New Roman" w:cs="Times New Roman"/>
          <w:color w:val="000000"/>
          <w:kern w:val="0"/>
          <w14:ligatures w14:val="none"/>
        </w:rPr>
        <w:t>, with a median response duration of </w:t>
      </w:r>
      <w:r w:rsidRPr="00910D11">
        <w:rPr>
          <w:rFonts w:ascii="Times New Roman" w:eastAsia="Times New Roman" w:hAnsi="Times New Roman" w:cs="Times New Roman"/>
          <w:b/>
          <w:bCs/>
          <w:color w:val="000000"/>
          <w:kern w:val="0"/>
          <w14:ligatures w14:val="none"/>
        </w:rPr>
        <w:t>10.3 months</w:t>
      </w:r>
      <w:r w:rsidRPr="00910D11">
        <w:rPr>
          <w:rFonts w:ascii="Times New Roman" w:eastAsia="Times New Roman" w:hAnsi="Times New Roman" w:cs="Times New Roman"/>
          <w:color w:val="000000"/>
          <w:kern w:val="0"/>
          <w14:ligatures w14:val="none"/>
        </w:rPr>
        <w:t>. </w:t>
      </w:r>
      <w:hyperlink r:id="rId11" w:history="1">
        <w:r w:rsidRPr="00910D11">
          <w:rPr>
            <w:rFonts w:ascii="Times New Roman" w:eastAsia="Times New Roman" w:hAnsi="Times New Roman" w:cs="Times New Roman"/>
            <w:color w:val="0000FF"/>
            <w:kern w:val="0"/>
            <w:u w:val="single"/>
            <w14:ligatures w14:val="none"/>
          </w:rPr>
          <w:t>U.S. Food and Drug Administration</w:t>
        </w:r>
      </w:hyperlink>
    </w:p>
    <w:p w14:paraId="28B2FABB"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That is encouraging, but accelerated approval does not mean the disease has been solved. Confirmatory studies are required to establish clinical benefit. </w:t>
      </w:r>
      <w:hyperlink r:id="rId12" w:history="1">
        <w:r w:rsidRPr="00910D11">
          <w:rPr>
            <w:rFonts w:ascii="Times New Roman" w:eastAsia="Times New Roman" w:hAnsi="Times New Roman" w:cs="Times New Roman"/>
            <w:color w:val="0000FF"/>
            <w:kern w:val="0"/>
            <w:u w:val="single"/>
            <w14:ligatures w14:val="none"/>
          </w:rPr>
          <w:t>U.S. Food and Drug Administration</w:t>
        </w:r>
      </w:hyperlink>
    </w:p>
    <w:p w14:paraId="7549926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b/>
          <w:bCs/>
          <w:color w:val="000000"/>
          <w:kern w:val="0"/>
          <w14:ligatures w14:val="none"/>
        </w:rPr>
        <w:t>ONC206 is earlier in development.</w:t>
      </w:r>
      <w:r w:rsidRPr="00910D11">
        <w:rPr>
          <w:rFonts w:ascii="Times New Roman" w:eastAsia="Times New Roman" w:hAnsi="Times New Roman" w:cs="Times New Roman"/>
          <w:color w:val="000000"/>
          <w:kern w:val="0"/>
          <w14:ligatures w14:val="none"/>
        </w:rPr>
        <w:t xml:space="preserve"> It remains investigational. PNOC023 is a Phase I study examining ONC206 in children and young adults with H3 K27-altered DMG, including combinations with radiation; the study is primarily establishing dose and safety, so we cannot yet make the same efficacy claims that we can for </w:t>
      </w:r>
      <w:proofErr w:type="spellStart"/>
      <w:r w:rsidRPr="00910D11">
        <w:rPr>
          <w:rFonts w:ascii="Times New Roman" w:eastAsia="Times New Roman" w:hAnsi="Times New Roman" w:cs="Times New Roman"/>
          <w:color w:val="000000"/>
          <w:kern w:val="0"/>
          <w14:ligatures w14:val="none"/>
        </w:rPr>
        <w:t>dordaviprone</w:t>
      </w:r>
      <w:proofErr w:type="spellEnd"/>
      <w:r w:rsidRPr="00910D11">
        <w:rPr>
          <w:rFonts w:ascii="Times New Roman" w:eastAsia="Times New Roman" w:hAnsi="Times New Roman" w:cs="Times New Roman"/>
          <w:color w:val="000000"/>
          <w:kern w:val="0"/>
          <w14:ligatures w14:val="none"/>
        </w:rPr>
        <w:t>. </w:t>
      </w:r>
      <w:hyperlink r:id="rId13" w:history="1">
        <w:r w:rsidRPr="00910D11">
          <w:rPr>
            <w:rFonts w:ascii="Times New Roman" w:eastAsia="Times New Roman" w:hAnsi="Times New Roman" w:cs="Times New Roman"/>
            <w:color w:val="0000FF"/>
            <w:kern w:val="0"/>
            <w:u w:val="single"/>
            <w14:ligatures w14:val="none"/>
          </w:rPr>
          <w:t>Cancer.gov</w:t>
        </w:r>
      </w:hyperlink>
    </w:p>
    <w:p w14:paraId="228160CB"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8. How can patients manage dexamethasone side effects?</w:t>
      </w:r>
    </w:p>
    <w:p w14:paraId="586AFF38"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Dexamethasone can be enormously helpful for brain-tumor-associated edema, but it is also one of the medications whose cumulative toxicity I watch most carefully.</w:t>
      </w:r>
    </w:p>
    <w:p w14:paraId="1BCDFF62"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Problems can include insomnia, agitation or mood changes, increased appetite and weight, elevated glucose, reflux, infection risk, skin thinning and bruising, osteoporosis and significant proximal muscle weakness.</w:t>
      </w:r>
    </w:p>
    <w:p w14:paraId="48CB05A1"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 fundamental principle is </w:t>
      </w:r>
      <w:r w:rsidRPr="00910D11">
        <w:rPr>
          <w:rFonts w:ascii="Times New Roman" w:eastAsia="Times New Roman" w:hAnsi="Times New Roman" w:cs="Times New Roman"/>
          <w:b/>
          <w:bCs/>
          <w:color w:val="000000"/>
          <w:kern w:val="0"/>
          <w14:ligatures w14:val="none"/>
        </w:rPr>
        <w:t>the lowest effective dose for the shortest appropriate duration</w:t>
      </w:r>
      <w:r w:rsidRPr="00910D11">
        <w:rPr>
          <w:rFonts w:ascii="Times New Roman" w:eastAsia="Times New Roman" w:hAnsi="Times New Roman" w:cs="Times New Roman"/>
          <w:color w:val="000000"/>
          <w:kern w:val="0"/>
          <w14:ligatures w14:val="none"/>
        </w:rPr>
        <w:t xml:space="preserve">, with tapering directed by the treating team—never abruptly stopping prolonged steroid therapy. </w:t>
      </w:r>
      <w:r w:rsidRPr="00910D11">
        <w:rPr>
          <w:rFonts w:ascii="Times New Roman" w:eastAsia="Times New Roman" w:hAnsi="Times New Roman" w:cs="Times New Roman"/>
          <w:color w:val="000000"/>
          <w:kern w:val="0"/>
          <w14:ligatures w14:val="none"/>
        </w:rPr>
        <w:lastRenderedPageBreak/>
        <w:t>Current GBM guidance similarly emphasizes minimizing dose and duration. </w:t>
      </w:r>
      <w:hyperlink r:id="rId14" w:history="1">
        <w:r w:rsidRPr="00910D11">
          <w:rPr>
            <w:rFonts w:ascii="Times New Roman" w:eastAsia="Times New Roman" w:hAnsi="Times New Roman" w:cs="Times New Roman"/>
            <w:color w:val="0000FF"/>
            <w:kern w:val="0"/>
            <w:u w:val="single"/>
            <w14:ligatures w14:val="none"/>
          </w:rPr>
          <w:t>PubMed Central (PMC)</w:t>
        </w:r>
      </w:hyperlink>
    </w:p>
    <w:p w14:paraId="2FA3BFB7"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Practical measures include taking doses earlier in the day when feasible, monitoring glucose and blood pressure, adequate protein intake, resistance/physical therapy as tolerated, fall prevention and attention to bone protection and infection risk in patients requiring prolonged treatment.</w:t>
      </w:r>
    </w:p>
    <w:p w14:paraId="37FE9B3C"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9. What does quality of life mean during treatment?</w:t>
      </w:r>
    </w:p>
    <w:p w14:paraId="3D9618C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ask patients what </w:t>
      </w:r>
      <w:r w:rsidRPr="00910D11">
        <w:rPr>
          <w:rFonts w:ascii="Times New Roman" w:eastAsia="Times New Roman" w:hAnsi="Times New Roman" w:cs="Times New Roman"/>
          <w:i/>
          <w:iCs/>
          <w:color w:val="000000"/>
          <w:kern w:val="0"/>
          <w14:ligatures w14:val="none"/>
        </w:rPr>
        <w:t>quality</w:t>
      </w:r>
      <w:r w:rsidRPr="00910D11">
        <w:rPr>
          <w:rFonts w:ascii="Times New Roman" w:eastAsia="Times New Roman" w:hAnsi="Times New Roman" w:cs="Times New Roman"/>
          <w:color w:val="000000"/>
          <w:kern w:val="0"/>
          <w14:ligatures w14:val="none"/>
        </w:rPr>
        <w:t> means </w:t>
      </w:r>
      <w:r w:rsidRPr="00910D11">
        <w:rPr>
          <w:rFonts w:ascii="Times New Roman" w:eastAsia="Times New Roman" w:hAnsi="Times New Roman" w:cs="Times New Roman"/>
          <w:b/>
          <w:bCs/>
          <w:color w:val="000000"/>
          <w:kern w:val="0"/>
          <w14:ligatures w14:val="none"/>
        </w:rPr>
        <w:t>to them</w:t>
      </w:r>
      <w:r w:rsidRPr="00910D11">
        <w:rPr>
          <w:rFonts w:ascii="Times New Roman" w:eastAsia="Times New Roman" w:hAnsi="Times New Roman" w:cs="Times New Roman"/>
          <w:color w:val="000000"/>
          <w:kern w:val="0"/>
          <w14:ligatures w14:val="none"/>
        </w:rPr>
        <w:t>.</w:t>
      </w:r>
    </w:p>
    <w:p w14:paraId="424144D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For one person it is continuing to work. For another it is being able to walk the dog. For another it is thinking clearly enough to read. Someone else may prioritize attending a child's graduation or simply being comfortable at home.</w:t>
      </w:r>
    </w:p>
    <w:p w14:paraId="5CF9B41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And those priorities can change.</w:t>
      </w:r>
    </w:p>
    <w:p w14:paraId="727E5F4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Therefore, quality of life isn't a consolation prize when treatment stops working. It should be an outcome we measure from diagnosis onward. Good medicine repeatedly asks: </w:t>
      </w:r>
      <w:r w:rsidRPr="00910D11">
        <w:rPr>
          <w:rFonts w:ascii="Times New Roman" w:eastAsia="Times New Roman" w:hAnsi="Times New Roman" w:cs="Times New Roman"/>
          <w:b/>
          <w:bCs/>
          <w:color w:val="000000"/>
          <w:kern w:val="0"/>
          <w14:ligatures w14:val="none"/>
        </w:rPr>
        <w:t>“What matters to you now?”</w:t>
      </w:r>
      <w:r w:rsidRPr="00910D11">
        <w:rPr>
          <w:rFonts w:ascii="Times New Roman" w:eastAsia="Times New Roman" w:hAnsi="Times New Roman" w:cs="Times New Roman"/>
          <w:color w:val="000000"/>
          <w:kern w:val="0"/>
          <w14:ligatures w14:val="none"/>
        </w:rPr>
        <w:t>, because the answer six months from now may be different.</w:t>
      </w:r>
    </w:p>
    <w:p w14:paraId="7519CB81"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10. How can researchers collaborate internationally more effectively?</w:t>
      </w:r>
    </w:p>
    <w:p w14:paraId="79A1143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Brain tumors are exactly the diseases in which we </w:t>
      </w:r>
      <w:r w:rsidRPr="00910D11">
        <w:rPr>
          <w:rFonts w:ascii="Times New Roman" w:eastAsia="Times New Roman" w:hAnsi="Times New Roman" w:cs="Times New Roman"/>
          <w:b/>
          <w:bCs/>
          <w:color w:val="000000"/>
          <w:kern w:val="0"/>
          <w14:ligatures w14:val="none"/>
        </w:rPr>
        <w:t>cannot afford scientific silos</w:t>
      </w:r>
      <w:r w:rsidRPr="00910D11">
        <w:rPr>
          <w:rFonts w:ascii="Times New Roman" w:eastAsia="Times New Roman" w:hAnsi="Times New Roman" w:cs="Times New Roman"/>
          <w:color w:val="000000"/>
          <w:kern w:val="0"/>
          <w14:ligatures w14:val="none"/>
        </w:rPr>
        <w:t>.</w:t>
      </w:r>
    </w:p>
    <w:p w14:paraId="339161AA"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We need harmonized molecular classification, shared datasets and biobanks, interoperable imaging and clinical data, common outcome measures, international registries, multi-institutional trials and platforms that allow hypotheses to be tested rapidly across countries.</w:t>
      </w:r>
    </w:p>
    <w:p w14:paraId="6B5C8EF2"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We also need to share </w:t>
      </w:r>
      <w:r w:rsidRPr="00910D11">
        <w:rPr>
          <w:rFonts w:ascii="Times New Roman" w:eastAsia="Times New Roman" w:hAnsi="Times New Roman" w:cs="Times New Roman"/>
          <w:b/>
          <w:bCs/>
          <w:color w:val="000000"/>
          <w:kern w:val="0"/>
          <w14:ligatures w14:val="none"/>
        </w:rPr>
        <w:t>negative results</w:t>
      </w:r>
      <w:r w:rsidRPr="00910D11">
        <w:rPr>
          <w:rFonts w:ascii="Times New Roman" w:eastAsia="Times New Roman" w:hAnsi="Times New Roman" w:cs="Times New Roman"/>
          <w:color w:val="000000"/>
          <w:kern w:val="0"/>
          <w14:ligatures w14:val="none"/>
        </w:rPr>
        <w:t>. Ten laboratories independently discovering that something doesn't work wastes precious time and resources.</w:t>
      </w:r>
    </w:p>
    <w:p w14:paraId="58E4D219"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And patients should be involved in research design. International collaboration should ultimately mean that a promising discovery made in Boston, London, Heidelberg or Sydney can become a multicenter clinical question rather than remaining within one institution.</w:t>
      </w:r>
    </w:p>
    <w:p w14:paraId="5D5CF068"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11. TSC-related brain lesion, heat intolerance while taking Zoloft: could medical cannabis replace it?</w:t>
      </w:r>
    </w:p>
    <w:p w14:paraId="517FB22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would separate these issues.</w:t>
      </w:r>
    </w:p>
    <w:p w14:paraId="2AE1687E"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Heat intolerance or excessive sweating can have several causes, including medication effects, endocrine/autonomic issues and other medical problems. The first step is to establish </w:t>
      </w:r>
      <w:r w:rsidRPr="00910D11">
        <w:rPr>
          <w:rFonts w:ascii="Times New Roman" w:eastAsia="Times New Roman" w:hAnsi="Times New Roman" w:cs="Times New Roman"/>
          <w:b/>
          <w:bCs/>
          <w:color w:val="000000"/>
          <w:kern w:val="0"/>
          <w14:ligatures w14:val="none"/>
        </w:rPr>
        <w:t>why it is happening</w:t>
      </w:r>
      <w:r w:rsidRPr="00910D11">
        <w:rPr>
          <w:rFonts w:ascii="Times New Roman" w:eastAsia="Times New Roman" w:hAnsi="Times New Roman" w:cs="Times New Roman"/>
          <w:color w:val="000000"/>
          <w:kern w:val="0"/>
          <w14:ligatures w14:val="none"/>
        </w:rPr>
        <w:t> and review the sertraline dose and other medications with the prescribing clinician.</w:t>
      </w:r>
    </w:p>
    <w:p w14:paraId="24726EB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lastRenderedPageBreak/>
        <w:t>I would not regard cannabis as a straightforward substitute for sertraline for anxiety. It has different pharmacology and can itself produce cognitive effects, dizziness, anxiety or psychiatric symptoms in susceptible individuals. And sertraline should not simply be stopped abruptly.</w:t>
      </w:r>
    </w:p>
    <w:p w14:paraId="550DF3CA"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Cannabis has legitimate symptom-management roles in selected circumstances, but ASCO does </w:t>
      </w:r>
      <w:r w:rsidRPr="00910D11">
        <w:rPr>
          <w:rFonts w:ascii="Times New Roman" w:eastAsia="Times New Roman" w:hAnsi="Times New Roman" w:cs="Times New Roman"/>
          <w:b/>
          <w:bCs/>
          <w:color w:val="000000"/>
          <w:kern w:val="0"/>
          <w14:ligatures w14:val="none"/>
        </w:rPr>
        <w:t>not</w:t>
      </w:r>
      <w:r w:rsidRPr="00910D11">
        <w:rPr>
          <w:rFonts w:ascii="Times New Roman" w:eastAsia="Times New Roman" w:hAnsi="Times New Roman" w:cs="Times New Roman"/>
          <w:color w:val="000000"/>
          <w:kern w:val="0"/>
          <w14:ligatures w14:val="none"/>
        </w:rPr>
        <w:t> recommend cannabinoids as anticancer treatment and finds insufficient evidence for many cancer-related symptom indications outside specific circumstances. </w:t>
      </w:r>
      <w:hyperlink r:id="rId15" w:history="1">
        <w:r w:rsidRPr="00910D11">
          <w:rPr>
            <w:rFonts w:ascii="Times New Roman" w:eastAsia="Times New Roman" w:hAnsi="Times New Roman" w:cs="Times New Roman"/>
            <w:color w:val="0000FF"/>
            <w:kern w:val="0"/>
            <w:u w:val="single"/>
            <w14:ligatures w14:val="none"/>
          </w:rPr>
          <w:t>ASCO Publications</w:t>
        </w:r>
      </w:hyperlink>
    </w:p>
    <w:p w14:paraId="134E64A7"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For a patient with TSC and a brain lesion, I would have neurology/neuro-oncology and the clinician treating the anxiety jointly review this rather than simply exchanging one drug for another.</w:t>
      </w:r>
    </w:p>
    <w:p w14:paraId="41780D18"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12. “My muscles have atrophied, but exercise brings exhaustion and headaches.”</w:t>
      </w:r>
    </w:p>
    <w:p w14:paraId="359B34E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 xml:space="preserve">This is a situation </w:t>
      </w:r>
      <w:proofErr w:type="gramStart"/>
      <w:r w:rsidRPr="00910D11">
        <w:rPr>
          <w:rFonts w:ascii="Times New Roman" w:eastAsia="Times New Roman" w:hAnsi="Times New Roman" w:cs="Times New Roman"/>
          <w:color w:val="000000"/>
          <w:kern w:val="0"/>
          <w14:ligatures w14:val="none"/>
        </w:rPr>
        <w:t>where</w:t>
      </w:r>
      <w:proofErr w:type="gramEnd"/>
      <w:r w:rsidRPr="00910D11">
        <w:rPr>
          <w:rFonts w:ascii="Times New Roman" w:eastAsia="Times New Roman" w:hAnsi="Times New Roman" w:cs="Times New Roman"/>
          <w:color w:val="000000"/>
          <w:kern w:val="0"/>
          <w14:ligatures w14:val="none"/>
        </w:rPr>
        <w:t> </w:t>
      </w:r>
      <w:r w:rsidRPr="00910D11">
        <w:rPr>
          <w:rFonts w:ascii="Times New Roman" w:eastAsia="Times New Roman" w:hAnsi="Times New Roman" w:cs="Times New Roman"/>
          <w:b/>
          <w:bCs/>
          <w:color w:val="000000"/>
          <w:kern w:val="0"/>
          <w14:ligatures w14:val="none"/>
        </w:rPr>
        <w:t>pushing harder may be the wrong strategy</w:t>
      </w:r>
      <w:r w:rsidRPr="00910D11">
        <w:rPr>
          <w:rFonts w:ascii="Times New Roman" w:eastAsia="Times New Roman" w:hAnsi="Times New Roman" w:cs="Times New Roman"/>
          <w:color w:val="000000"/>
          <w:kern w:val="0"/>
          <w14:ligatures w14:val="none"/>
        </w:rPr>
        <w:t>.</w:t>
      </w:r>
    </w:p>
    <w:p w14:paraId="1E4A2E7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First determine why the muscle loss and headaches are occurring. In a brain-tumor patient I would consider steroid myopathy, deconditioning, anemia, endocrine abnormalities, medication effects, inadequate nutrition, tumor-related neurological deficits and other causes. New or worsening exertional headaches deserve clinical evaluation rather than simply being exercised through.</w:t>
      </w:r>
    </w:p>
    <w:p w14:paraId="1EE5077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Then I would use </w:t>
      </w:r>
      <w:r w:rsidRPr="00910D11">
        <w:rPr>
          <w:rFonts w:ascii="Times New Roman" w:eastAsia="Times New Roman" w:hAnsi="Times New Roman" w:cs="Times New Roman"/>
          <w:b/>
          <w:bCs/>
          <w:color w:val="000000"/>
          <w:kern w:val="0"/>
          <w14:ligatures w14:val="none"/>
        </w:rPr>
        <w:t>graded rehabilitation</w:t>
      </w:r>
      <w:r w:rsidRPr="00910D11">
        <w:rPr>
          <w:rFonts w:ascii="Times New Roman" w:eastAsia="Times New Roman" w:hAnsi="Times New Roman" w:cs="Times New Roman"/>
          <w:color w:val="000000"/>
          <w:kern w:val="0"/>
          <w14:ligatures w14:val="none"/>
        </w:rPr>
        <w:t>: small amounts of activity below the threshold that precipitates prolonged symptoms, followed by recovery, and progressively increase it.</w:t>
      </w:r>
    </w:p>
    <w:p w14:paraId="535CF6B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 xml:space="preserve">A cancer rehabilitation specialist, physical therapist and dietitian can be tremendously valuable. Adequate protein and calories matter as much as resistance exercise when trying to rebuild muscle. Exercise is one of the interventions with evidence for improving cancer-related fatigue, but it </w:t>
      </w:r>
      <w:proofErr w:type="gramStart"/>
      <w:r w:rsidRPr="00910D11">
        <w:rPr>
          <w:rFonts w:ascii="Times New Roman" w:eastAsia="Times New Roman" w:hAnsi="Times New Roman" w:cs="Times New Roman"/>
          <w:color w:val="000000"/>
          <w:kern w:val="0"/>
          <w14:ligatures w14:val="none"/>
        </w:rPr>
        <w:t>has to</w:t>
      </w:r>
      <w:proofErr w:type="gramEnd"/>
      <w:r w:rsidRPr="00910D11">
        <w:rPr>
          <w:rFonts w:ascii="Times New Roman" w:eastAsia="Times New Roman" w:hAnsi="Times New Roman" w:cs="Times New Roman"/>
          <w:color w:val="000000"/>
          <w:kern w:val="0"/>
          <w14:ligatures w14:val="none"/>
        </w:rPr>
        <w:t xml:space="preserve"> be individualized. </w:t>
      </w:r>
      <w:hyperlink r:id="rId16" w:history="1">
        <w:r w:rsidRPr="00910D11">
          <w:rPr>
            <w:rFonts w:ascii="Times New Roman" w:eastAsia="Times New Roman" w:hAnsi="Times New Roman" w:cs="Times New Roman"/>
            <w:color w:val="0000FF"/>
            <w:kern w:val="0"/>
            <w:u w:val="single"/>
            <w14:ligatures w14:val="none"/>
          </w:rPr>
          <w:t>ASCO Publications</w:t>
        </w:r>
      </w:hyperlink>
    </w:p>
    <w:p w14:paraId="30729092"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13. What can restore neurological function and improve quality of life?</w:t>
      </w:r>
    </w:p>
    <w:p w14:paraId="3620F7B3"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Sometimes neurological dysfunction comes from tumor itself; sometimes from edema, seizures, medications, treatment effects or deconditioning. Identifying reversible components is therefore the first step.</w:t>
      </w:r>
    </w:p>
    <w:p w14:paraId="29CB4C8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Then rehabilitation should be as sophisticated as cancer treatment: </w:t>
      </w:r>
      <w:r w:rsidRPr="00910D11">
        <w:rPr>
          <w:rFonts w:ascii="Times New Roman" w:eastAsia="Times New Roman" w:hAnsi="Times New Roman" w:cs="Times New Roman"/>
          <w:b/>
          <w:bCs/>
          <w:color w:val="000000"/>
          <w:kern w:val="0"/>
          <w14:ligatures w14:val="none"/>
        </w:rPr>
        <w:t>physical therapy, occupational therapy, speech-language therapy, cognitive rehabilitation, neuropsychology and exercise medicine</w:t>
      </w:r>
      <w:r w:rsidRPr="00910D11">
        <w:rPr>
          <w:rFonts w:ascii="Times New Roman" w:eastAsia="Times New Roman" w:hAnsi="Times New Roman" w:cs="Times New Roman"/>
          <w:color w:val="000000"/>
          <w:kern w:val="0"/>
          <w14:ligatures w14:val="none"/>
        </w:rPr>
        <w:t>, depending upon the deficit.</w:t>
      </w:r>
    </w:p>
    <w:p w14:paraId="7743508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NICE specifically recommends considering neurological rehabilitation assessment of physical, cognitive and emotional function from diagnosis through follow-up. </w:t>
      </w:r>
      <w:hyperlink r:id="rId17" w:history="1">
        <w:r w:rsidRPr="00910D11">
          <w:rPr>
            <w:rFonts w:ascii="Times New Roman" w:eastAsia="Times New Roman" w:hAnsi="Times New Roman" w:cs="Times New Roman"/>
            <w:color w:val="0000FF"/>
            <w:kern w:val="0"/>
            <w:u w:val="single"/>
            <w14:ligatures w14:val="none"/>
          </w:rPr>
          <w:t>NICE</w:t>
        </w:r>
      </w:hyperlink>
      <w:r w:rsidRPr="00910D11">
        <w:rPr>
          <w:rFonts w:ascii="Times New Roman" w:eastAsia="Times New Roman" w:hAnsi="Times New Roman" w:cs="Times New Roman"/>
          <w:color w:val="000000"/>
          <w:kern w:val="0"/>
          <w14:ligatures w14:val="none"/>
        </w:rPr>
        <w:t> Pilot brain-tumor studies also suggest potential benefits from aerobic exercise and cognitive rehabilitation. </w:t>
      </w:r>
      <w:hyperlink r:id="rId18" w:history="1">
        <w:r w:rsidRPr="00910D11">
          <w:rPr>
            <w:rFonts w:ascii="Times New Roman" w:eastAsia="Times New Roman" w:hAnsi="Times New Roman" w:cs="Times New Roman"/>
            <w:color w:val="0000FF"/>
            <w:kern w:val="0"/>
            <w:u w:val="single"/>
            <w14:ligatures w14:val="none"/>
          </w:rPr>
          <w:t>PubMed Central (PMC)</w:t>
        </w:r>
      </w:hyperlink>
    </w:p>
    <w:p w14:paraId="6C75061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lastRenderedPageBreak/>
        <w:t>The brain has remarkable capacity for adaptation. We should not promise complete recovery, but neither should we assume that a neurological deficit cannot improve.</w:t>
      </w:r>
    </w:p>
    <w:p w14:paraId="607758ED"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14. What principles guide your overall approach to patient care?</w:t>
      </w:r>
    </w:p>
    <w:p w14:paraId="5D9B5B54"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My approach is </w:t>
      </w:r>
      <w:r w:rsidRPr="00910D11">
        <w:rPr>
          <w:rFonts w:ascii="Times New Roman" w:eastAsia="Times New Roman" w:hAnsi="Times New Roman" w:cs="Times New Roman"/>
          <w:b/>
          <w:bCs/>
          <w:color w:val="000000"/>
          <w:kern w:val="0"/>
          <w14:ligatures w14:val="none"/>
        </w:rPr>
        <w:t>patient-centered, scientifically rigorous and individualized</w:t>
      </w:r>
      <w:r w:rsidRPr="00910D11">
        <w:rPr>
          <w:rFonts w:ascii="Times New Roman" w:eastAsia="Times New Roman" w:hAnsi="Times New Roman" w:cs="Times New Roman"/>
          <w:color w:val="000000"/>
          <w:kern w:val="0"/>
          <w14:ligatures w14:val="none"/>
        </w:rPr>
        <w:t>.</w:t>
      </w:r>
    </w:p>
    <w:p w14:paraId="2C0BA08D"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 xml:space="preserve">I ask several questions simultaneously: What is the biology of this </w:t>
      </w:r>
      <w:proofErr w:type="gramStart"/>
      <w:r w:rsidRPr="00910D11">
        <w:rPr>
          <w:rFonts w:ascii="Times New Roman" w:eastAsia="Times New Roman" w:hAnsi="Times New Roman" w:cs="Times New Roman"/>
          <w:color w:val="000000"/>
          <w:kern w:val="0"/>
          <w14:ligatures w14:val="none"/>
        </w:rPr>
        <w:t>particular tumor</w:t>
      </w:r>
      <w:proofErr w:type="gramEnd"/>
      <w:r w:rsidRPr="00910D11">
        <w:rPr>
          <w:rFonts w:ascii="Times New Roman" w:eastAsia="Times New Roman" w:hAnsi="Times New Roman" w:cs="Times New Roman"/>
          <w:color w:val="000000"/>
          <w:kern w:val="0"/>
          <w14:ligatures w14:val="none"/>
        </w:rPr>
        <w:t xml:space="preserve">? What treatments have the strongest evidence? Is there a rational clinical trial? What matters most to this </w:t>
      </w:r>
      <w:proofErr w:type="gramStart"/>
      <w:r w:rsidRPr="00910D11">
        <w:rPr>
          <w:rFonts w:ascii="Times New Roman" w:eastAsia="Times New Roman" w:hAnsi="Times New Roman" w:cs="Times New Roman"/>
          <w:color w:val="000000"/>
          <w:kern w:val="0"/>
          <w14:ligatures w14:val="none"/>
        </w:rPr>
        <w:t>particular person</w:t>
      </w:r>
      <w:proofErr w:type="gramEnd"/>
      <w:r w:rsidRPr="00910D11">
        <w:rPr>
          <w:rFonts w:ascii="Times New Roman" w:eastAsia="Times New Roman" w:hAnsi="Times New Roman" w:cs="Times New Roman"/>
          <w:color w:val="000000"/>
          <w:kern w:val="0"/>
          <w14:ligatures w14:val="none"/>
        </w:rPr>
        <w:t>? And what can we do today to make their life better?</w:t>
      </w:r>
    </w:p>
    <w:p w14:paraId="551AFE7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am willing to discuss conventional treatments, clinical trials, nutrition, exercise, supplements and complementary approaches—but I apply the same principle to everything: </w:t>
      </w:r>
      <w:r w:rsidRPr="00910D11">
        <w:rPr>
          <w:rFonts w:ascii="Times New Roman" w:eastAsia="Times New Roman" w:hAnsi="Times New Roman" w:cs="Times New Roman"/>
          <w:b/>
          <w:bCs/>
          <w:color w:val="000000"/>
          <w:kern w:val="0"/>
          <w14:ligatures w14:val="none"/>
        </w:rPr>
        <w:t>What is the evidence? What are the risks? Could it interact with treatment? And does it serve this patient's goals?</w:t>
      </w:r>
    </w:p>
    <w:p w14:paraId="079FF7E4"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Most importantly, I don't treat an MRI. </w:t>
      </w:r>
      <w:r w:rsidRPr="00910D11">
        <w:rPr>
          <w:rFonts w:ascii="Times New Roman" w:eastAsia="Times New Roman" w:hAnsi="Times New Roman" w:cs="Times New Roman"/>
          <w:b/>
          <w:bCs/>
          <w:color w:val="000000"/>
          <w:kern w:val="0"/>
          <w14:ligatures w14:val="none"/>
        </w:rPr>
        <w:t>I treat the person who happens to have the MRI.</w:t>
      </w:r>
    </w:p>
    <w:p w14:paraId="1EF59A35"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16. What should people with GBM know about a low-carbohydrate, high-healthy-fat diet?</w:t>
      </w:r>
    </w:p>
    <w:p w14:paraId="4F299575"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 xml:space="preserve">There is a compelling biological hypothesis behind ketogenic diets in GBM, and this is a legitimate area of research. But we </w:t>
      </w:r>
      <w:proofErr w:type="gramStart"/>
      <w:r w:rsidRPr="00910D11">
        <w:rPr>
          <w:rFonts w:ascii="Times New Roman" w:eastAsia="Times New Roman" w:hAnsi="Times New Roman" w:cs="Times New Roman"/>
          <w:color w:val="000000"/>
          <w:kern w:val="0"/>
          <w14:ligatures w14:val="none"/>
        </w:rPr>
        <w:t>have to</w:t>
      </w:r>
      <w:proofErr w:type="gramEnd"/>
      <w:r w:rsidRPr="00910D11">
        <w:rPr>
          <w:rFonts w:ascii="Times New Roman" w:eastAsia="Times New Roman" w:hAnsi="Times New Roman" w:cs="Times New Roman"/>
          <w:color w:val="000000"/>
          <w:kern w:val="0"/>
          <w14:ligatures w14:val="none"/>
        </w:rPr>
        <w:t xml:space="preserve"> distinguish biological plausibility from proven clinical benefit.</w:t>
      </w:r>
    </w:p>
    <w:p w14:paraId="095777CF"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A 2025 Phase I study of 17 evaluable patients found a supervised ketogenic diet alongside standard GBM treatment feasible and safe, and it has helped justify further randomized study. It was </w:t>
      </w:r>
      <w:r w:rsidRPr="00910D11">
        <w:rPr>
          <w:rFonts w:ascii="Times New Roman" w:eastAsia="Times New Roman" w:hAnsi="Times New Roman" w:cs="Times New Roman"/>
          <w:b/>
          <w:bCs/>
          <w:color w:val="000000"/>
          <w:kern w:val="0"/>
          <w14:ligatures w14:val="none"/>
        </w:rPr>
        <w:t>not</w:t>
      </w:r>
      <w:r w:rsidRPr="00910D11">
        <w:rPr>
          <w:rFonts w:ascii="Times New Roman" w:eastAsia="Times New Roman" w:hAnsi="Times New Roman" w:cs="Times New Roman"/>
          <w:color w:val="000000"/>
          <w:kern w:val="0"/>
          <w14:ligatures w14:val="none"/>
        </w:rPr>
        <w:t>, however, designed to establish that the diet prolongs survival. </w:t>
      </w:r>
      <w:hyperlink r:id="rId19" w:history="1">
        <w:r w:rsidRPr="00910D11">
          <w:rPr>
            <w:rFonts w:ascii="Times New Roman" w:eastAsia="Times New Roman" w:hAnsi="Times New Roman" w:cs="Times New Roman"/>
            <w:color w:val="0000FF"/>
            <w:kern w:val="0"/>
            <w:u w:val="single"/>
            <w14:ligatures w14:val="none"/>
          </w:rPr>
          <w:t>PubMed</w:t>
        </w:r>
      </w:hyperlink>
      <w:r w:rsidRPr="00910D11">
        <w:rPr>
          <w:rFonts w:ascii="Times New Roman" w:eastAsia="Times New Roman" w:hAnsi="Times New Roman" w:cs="Times New Roman"/>
          <w:color w:val="000000"/>
          <w:kern w:val="0"/>
          <w14:ligatures w14:val="none"/>
        </w:rPr>
        <w:t> Current SNO/EANO guidance similarly describes the evidence as limited and emphasizes that studies to date have largely addressed feasibility and safety. </w:t>
      </w:r>
      <w:hyperlink r:id="rId20" w:history="1">
        <w:r w:rsidRPr="00910D11">
          <w:rPr>
            <w:rFonts w:ascii="Times New Roman" w:eastAsia="Times New Roman" w:hAnsi="Times New Roman" w:cs="Times New Roman"/>
            <w:color w:val="0000FF"/>
            <w:kern w:val="0"/>
            <w:u w:val="single"/>
            <w14:ligatures w14:val="none"/>
          </w:rPr>
          <w:t>PubMed Central (PMC)</w:t>
        </w:r>
      </w:hyperlink>
    </w:p>
    <w:p w14:paraId="7B9BEC8E"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proofErr w:type="gramStart"/>
      <w:r w:rsidRPr="00910D11">
        <w:rPr>
          <w:rFonts w:ascii="Times New Roman" w:eastAsia="Times New Roman" w:hAnsi="Times New Roman" w:cs="Times New Roman"/>
          <w:color w:val="000000"/>
          <w:kern w:val="0"/>
          <w14:ligatures w14:val="none"/>
        </w:rPr>
        <w:t>So</w:t>
      </w:r>
      <w:proofErr w:type="gramEnd"/>
      <w:r w:rsidRPr="00910D11">
        <w:rPr>
          <w:rFonts w:ascii="Times New Roman" w:eastAsia="Times New Roman" w:hAnsi="Times New Roman" w:cs="Times New Roman"/>
          <w:color w:val="000000"/>
          <w:kern w:val="0"/>
          <w14:ligatures w14:val="none"/>
        </w:rPr>
        <w:t xml:space="preserve"> I would not tell patients that carbohydrates “feed the tumor” or that ketosis treats GBM.</w:t>
      </w:r>
    </w:p>
    <w:p w14:paraId="27CEF1CF"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For someone who wants a lower-carbohydrate approach, I would favor </w:t>
      </w:r>
      <w:r w:rsidRPr="00910D11">
        <w:rPr>
          <w:rFonts w:ascii="Times New Roman" w:eastAsia="Times New Roman" w:hAnsi="Times New Roman" w:cs="Times New Roman"/>
          <w:b/>
          <w:bCs/>
          <w:color w:val="000000"/>
          <w:kern w:val="0"/>
          <w14:ligatures w14:val="none"/>
        </w:rPr>
        <w:t>metabolic health rather than dietary extremism</w:t>
      </w:r>
      <w:r w:rsidRPr="00910D11">
        <w:rPr>
          <w:rFonts w:ascii="Times New Roman" w:eastAsia="Times New Roman" w:hAnsi="Times New Roman" w:cs="Times New Roman"/>
          <w:color w:val="000000"/>
          <w:kern w:val="0"/>
          <w14:ligatures w14:val="none"/>
        </w:rPr>
        <w:t>: reduce refined sugar and highly processed carbohydrates; emphasize vegetables, fiber, protein, nuts, olive oil, avocado and other unsaturated fats; and maintain adequate calories and muscle mass. In a patient already losing weight or muscle, an aggressive ketogenic diet can be counterproductive unless supervised by an oncology dietitian.</w:t>
      </w:r>
    </w:p>
    <w:p w14:paraId="491F4D2B" w14:textId="77777777" w:rsidR="00910D11" w:rsidRPr="00910D11" w:rsidRDefault="00910D11" w:rsidP="00910D1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10D11">
        <w:rPr>
          <w:rFonts w:ascii="Times New Roman" w:eastAsia="Times New Roman" w:hAnsi="Times New Roman" w:cs="Times New Roman"/>
          <w:b/>
          <w:bCs/>
          <w:color w:val="000000"/>
          <w:kern w:val="0"/>
          <w:sz w:val="27"/>
          <w:szCs w:val="27"/>
          <w14:ligatures w14:val="none"/>
        </w:rPr>
        <w:t>17. What would complementary therapies look like in practice?</w:t>
      </w:r>
    </w:p>
    <w:p w14:paraId="50E0429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I would make them part of the treatment plan rather than something happening secretly outside oncology.</w:t>
      </w:r>
    </w:p>
    <w:p w14:paraId="466757C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 xml:space="preserve">For example, a patient might receive surgery, radiation and systemic treatment while also having an oncology dietitian optimize nutrition; physical therapy and resistance exercise preserve </w:t>
      </w:r>
      <w:r w:rsidRPr="00910D11">
        <w:rPr>
          <w:rFonts w:ascii="Times New Roman" w:eastAsia="Times New Roman" w:hAnsi="Times New Roman" w:cs="Times New Roman"/>
          <w:color w:val="000000"/>
          <w:kern w:val="0"/>
          <w14:ligatures w14:val="none"/>
        </w:rPr>
        <w:lastRenderedPageBreak/>
        <w:t>strength; acupuncture assists selected symptoms; mindfulness or CBT addresses anxiety and sleep; music or art therapy provides emotional expression; rehabilitation targets cognition and neurological deficits; and palliative/supportive care treats pain, fatigue and other symptoms.</w:t>
      </w:r>
    </w:p>
    <w:p w14:paraId="059F1442"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Supplements would undergo the same review as medications for evidence, dose, toxicity and interactions.</w:t>
      </w:r>
    </w:p>
    <w:p w14:paraId="42D8ECD6"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There is good evidence for several integrative interventions for specific cancer-related symptoms—particularly </w:t>
      </w:r>
      <w:r w:rsidRPr="00910D11">
        <w:rPr>
          <w:rFonts w:ascii="Times New Roman" w:eastAsia="Times New Roman" w:hAnsi="Times New Roman" w:cs="Times New Roman"/>
          <w:b/>
          <w:bCs/>
          <w:color w:val="000000"/>
          <w:kern w:val="0"/>
          <w14:ligatures w14:val="none"/>
        </w:rPr>
        <w:t>exercise, mindfulness, CBT, tai chi/qigong and selected mind-body approaches</w:t>
      </w:r>
      <w:r w:rsidRPr="00910D11">
        <w:rPr>
          <w:rFonts w:ascii="Times New Roman" w:eastAsia="Times New Roman" w:hAnsi="Times New Roman" w:cs="Times New Roman"/>
          <w:color w:val="000000"/>
          <w:kern w:val="0"/>
          <w14:ligatures w14:val="none"/>
        </w:rPr>
        <w:t>—but “natural” does not automatically mean effective or safe. </w:t>
      </w:r>
      <w:hyperlink r:id="rId21" w:history="1">
        <w:r w:rsidRPr="00910D11">
          <w:rPr>
            <w:rFonts w:ascii="Times New Roman" w:eastAsia="Times New Roman" w:hAnsi="Times New Roman" w:cs="Times New Roman"/>
            <w:color w:val="0000FF"/>
            <w:kern w:val="0"/>
            <w:u w:val="single"/>
            <w14:ligatures w14:val="none"/>
          </w:rPr>
          <w:t>ASCO Publications</w:t>
        </w:r>
      </w:hyperlink>
    </w:p>
    <w:p w14:paraId="1702A4D0" w14:textId="77777777" w:rsidR="00910D11" w:rsidRPr="00910D11" w:rsidRDefault="00910D11" w:rsidP="00910D11">
      <w:pPr>
        <w:spacing w:before="100" w:beforeAutospacing="1" w:after="100" w:afterAutospacing="1" w:line="240" w:lineRule="auto"/>
        <w:rPr>
          <w:rFonts w:ascii="Times New Roman" w:eastAsia="Times New Roman" w:hAnsi="Times New Roman" w:cs="Times New Roman"/>
          <w:color w:val="000000"/>
          <w:kern w:val="0"/>
          <w14:ligatures w14:val="none"/>
        </w:rPr>
      </w:pPr>
      <w:r w:rsidRPr="00910D11">
        <w:rPr>
          <w:rFonts w:ascii="Times New Roman" w:eastAsia="Times New Roman" w:hAnsi="Times New Roman" w:cs="Times New Roman"/>
          <w:color w:val="000000"/>
          <w:kern w:val="0"/>
          <w14:ligatures w14:val="none"/>
        </w:rPr>
        <w:t>That is the distinction I make between </w:t>
      </w:r>
      <w:r w:rsidRPr="00910D11">
        <w:rPr>
          <w:rFonts w:ascii="Times New Roman" w:eastAsia="Times New Roman" w:hAnsi="Times New Roman" w:cs="Times New Roman"/>
          <w:b/>
          <w:bCs/>
          <w:color w:val="000000"/>
          <w:kern w:val="0"/>
          <w14:ligatures w14:val="none"/>
        </w:rPr>
        <w:t>complementary</w:t>
      </w:r>
      <w:r w:rsidRPr="00910D11">
        <w:rPr>
          <w:rFonts w:ascii="Times New Roman" w:eastAsia="Times New Roman" w:hAnsi="Times New Roman" w:cs="Times New Roman"/>
          <w:color w:val="000000"/>
          <w:kern w:val="0"/>
          <w14:ligatures w14:val="none"/>
        </w:rPr>
        <w:t> and </w:t>
      </w:r>
      <w:r w:rsidRPr="00910D11">
        <w:rPr>
          <w:rFonts w:ascii="Times New Roman" w:eastAsia="Times New Roman" w:hAnsi="Times New Roman" w:cs="Times New Roman"/>
          <w:b/>
          <w:bCs/>
          <w:color w:val="000000"/>
          <w:kern w:val="0"/>
          <w14:ligatures w14:val="none"/>
        </w:rPr>
        <w:t>alternative</w:t>
      </w:r>
      <w:r w:rsidRPr="00910D11">
        <w:rPr>
          <w:rFonts w:ascii="Times New Roman" w:eastAsia="Times New Roman" w:hAnsi="Times New Roman" w:cs="Times New Roman"/>
          <w:color w:val="000000"/>
          <w:kern w:val="0"/>
          <w14:ligatures w14:val="none"/>
        </w:rPr>
        <w:t> medicine: complementary care works </w:t>
      </w:r>
      <w:proofErr w:type="spellStart"/>
      <w:r w:rsidRPr="00910D11">
        <w:rPr>
          <w:rFonts w:ascii="Times New Roman" w:eastAsia="Times New Roman" w:hAnsi="Times New Roman" w:cs="Times New Roman"/>
          <w:i/>
          <w:iCs/>
          <w:color w:val="000000"/>
          <w:kern w:val="0"/>
          <w14:ligatures w14:val="none"/>
        </w:rPr>
        <w:t>alongside</w:t>
      </w:r>
      <w:r w:rsidRPr="00910D11">
        <w:rPr>
          <w:rFonts w:ascii="Times New Roman" w:eastAsia="Times New Roman" w:hAnsi="Times New Roman" w:cs="Times New Roman"/>
          <w:color w:val="000000"/>
          <w:kern w:val="0"/>
          <w14:ligatures w14:val="none"/>
        </w:rPr>
        <w:t>evidence</w:t>
      </w:r>
      <w:proofErr w:type="spellEnd"/>
      <w:r w:rsidRPr="00910D11">
        <w:rPr>
          <w:rFonts w:ascii="Times New Roman" w:eastAsia="Times New Roman" w:hAnsi="Times New Roman" w:cs="Times New Roman"/>
          <w:color w:val="000000"/>
          <w:kern w:val="0"/>
          <w14:ligatures w14:val="none"/>
        </w:rPr>
        <w:t>-based oncology. It should help patients live as well as possible while we continue treating the cancer.</w:t>
      </w:r>
    </w:p>
    <w:p w14:paraId="263946A4" w14:textId="77777777" w:rsidR="00A16491" w:rsidRDefault="00A16491"/>
    <w:sectPr w:rsidR="00A164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11"/>
    <w:rsid w:val="00176817"/>
    <w:rsid w:val="004A4C9F"/>
    <w:rsid w:val="00711412"/>
    <w:rsid w:val="00910D11"/>
    <w:rsid w:val="00A16491"/>
    <w:rsid w:val="00B63F30"/>
    <w:rsid w:val="00C6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A9957B"/>
  <w15:chartTrackingRefBased/>
  <w15:docId w15:val="{1A9159C2-11CA-4B4B-A15C-9EBEE94B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0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0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D11"/>
    <w:rPr>
      <w:rFonts w:eastAsiaTheme="majorEastAsia" w:cstheme="majorBidi"/>
      <w:color w:val="272727" w:themeColor="text1" w:themeTint="D8"/>
    </w:rPr>
  </w:style>
  <w:style w:type="paragraph" w:styleId="Title">
    <w:name w:val="Title"/>
    <w:basedOn w:val="Normal"/>
    <w:next w:val="Normal"/>
    <w:link w:val="TitleChar"/>
    <w:uiPriority w:val="10"/>
    <w:qFormat/>
    <w:rsid w:val="00910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D11"/>
    <w:pPr>
      <w:spacing w:before="160"/>
      <w:jc w:val="center"/>
    </w:pPr>
    <w:rPr>
      <w:i/>
      <w:iCs/>
      <w:color w:val="404040" w:themeColor="text1" w:themeTint="BF"/>
    </w:rPr>
  </w:style>
  <w:style w:type="character" w:customStyle="1" w:styleId="QuoteChar">
    <w:name w:val="Quote Char"/>
    <w:basedOn w:val="DefaultParagraphFont"/>
    <w:link w:val="Quote"/>
    <w:uiPriority w:val="29"/>
    <w:rsid w:val="00910D11"/>
    <w:rPr>
      <w:i/>
      <w:iCs/>
      <w:color w:val="404040" w:themeColor="text1" w:themeTint="BF"/>
    </w:rPr>
  </w:style>
  <w:style w:type="paragraph" w:styleId="ListParagraph">
    <w:name w:val="List Paragraph"/>
    <w:basedOn w:val="Normal"/>
    <w:uiPriority w:val="34"/>
    <w:qFormat/>
    <w:rsid w:val="00910D11"/>
    <w:pPr>
      <w:ind w:left="720"/>
      <w:contextualSpacing/>
    </w:pPr>
  </w:style>
  <w:style w:type="character" w:styleId="IntenseEmphasis">
    <w:name w:val="Intense Emphasis"/>
    <w:basedOn w:val="DefaultParagraphFont"/>
    <w:uiPriority w:val="21"/>
    <w:qFormat/>
    <w:rsid w:val="00910D11"/>
    <w:rPr>
      <w:i/>
      <w:iCs/>
      <w:color w:val="0F4761" w:themeColor="accent1" w:themeShade="BF"/>
    </w:rPr>
  </w:style>
  <w:style w:type="paragraph" w:styleId="IntenseQuote">
    <w:name w:val="Intense Quote"/>
    <w:basedOn w:val="Normal"/>
    <w:next w:val="Normal"/>
    <w:link w:val="IntenseQuoteChar"/>
    <w:uiPriority w:val="30"/>
    <w:qFormat/>
    <w:rsid w:val="00910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D11"/>
    <w:rPr>
      <w:i/>
      <w:iCs/>
      <w:color w:val="0F4761" w:themeColor="accent1" w:themeShade="BF"/>
    </w:rPr>
  </w:style>
  <w:style w:type="character" w:styleId="IntenseReference">
    <w:name w:val="Intense Reference"/>
    <w:basedOn w:val="DefaultParagraphFont"/>
    <w:uiPriority w:val="32"/>
    <w:qFormat/>
    <w:rsid w:val="00910D11"/>
    <w:rPr>
      <w:b/>
      <w:bCs/>
      <w:smallCaps/>
      <w:color w:val="0F4761" w:themeColor="accent1" w:themeShade="BF"/>
      <w:spacing w:val="5"/>
    </w:rPr>
  </w:style>
  <w:style w:type="paragraph" w:styleId="NormalWeb">
    <w:name w:val="Normal (Web)"/>
    <w:basedOn w:val="Normal"/>
    <w:uiPriority w:val="99"/>
    <w:semiHidden/>
    <w:unhideWhenUsed/>
    <w:rsid w:val="00910D1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910D11"/>
  </w:style>
  <w:style w:type="character" w:styleId="Hyperlink">
    <w:name w:val="Hyperlink"/>
    <w:basedOn w:val="DefaultParagraphFont"/>
    <w:uiPriority w:val="99"/>
    <w:semiHidden/>
    <w:unhideWhenUsed/>
    <w:rsid w:val="00910D11"/>
    <w:rPr>
      <w:color w:val="0000FF"/>
      <w:u w:val="single"/>
    </w:rPr>
  </w:style>
  <w:style w:type="character" w:styleId="Strong">
    <w:name w:val="Strong"/>
    <w:basedOn w:val="DefaultParagraphFont"/>
    <w:uiPriority w:val="22"/>
    <w:qFormat/>
    <w:rsid w:val="00910D11"/>
    <w:rPr>
      <w:b/>
      <w:bCs/>
    </w:rPr>
  </w:style>
  <w:style w:type="character" w:styleId="Emphasis">
    <w:name w:val="Emphasis"/>
    <w:basedOn w:val="DefaultParagraphFont"/>
    <w:uiPriority w:val="20"/>
    <w:qFormat/>
    <w:rsid w:val="00910D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cerchat.cancerresearchuk.org/f/ask-the-nurses/121359/secondary-breast-cancer/550674?utm_source=chatgpt.com" TargetMode="External"/><Relationship Id="rId13" Type="http://schemas.openxmlformats.org/officeDocument/2006/relationships/hyperlink" Target="https://www.cancer.gov/research/participate/clinical-trials-search/v?id=NCI-2021-00046&amp;utm_source=chatgpt.com" TargetMode="External"/><Relationship Id="rId18" Type="http://schemas.openxmlformats.org/officeDocument/2006/relationships/hyperlink" Target="https://pmc.ncbi.nlm.nih.gov/articles/PMC12908567/?utm_source=chatgpt.com" TargetMode="External"/><Relationship Id="rId3" Type="http://schemas.openxmlformats.org/officeDocument/2006/relationships/webSettings" Target="webSettings.xml"/><Relationship Id="rId21" Type="http://schemas.openxmlformats.org/officeDocument/2006/relationships/hyperlink" Target="https://ascopubs.org/doi/full/10.1200/EDBK_431554?utm_source=chatgpt.com" TargetMode="External"/><Relationship Id="rId7" Type="http://schemas.openxmlformats.org/officeDocument/2006/relationships/hyperlink" Target="https://www.cancer.gov/research/participate/clinical-trials/disease/glioma/treatment?pn=2&amp;utm_source=chatgpt.com" TargetMode="External"/><Relationship Id="rId12" Type="http://schemas.openxmlformats.org/officeDocument/2006/relationships/hyperlink" Target="https://www.fda.gov/drugs/resources-information-approved-drugs/ongoing-cancer-accelerated-approvals?utm_source=chatgpt.com" TargetMode="External"/><Relationship Id="rId17" Type="http://schemas.openxmlformats.org/officeDocument/2006/relationships/hyperlink" Target="https://www.nice.org.uk/guidance/NG99/chapter/recommendations" TargetMode="External"/><Relationship Id="rId2" Type="http://schemas.openxmlformats.org/officeDocument/2006/relationships/settings" Target="settings.xml"/><Relationship Id="rId16" Type="http://schemas.openxmlformats.org/officeDocument/2006/relationships/hyperlink" Target="https://ascopubs.org/doi/10.1200/JCO.24.00541?utm_source=chatgpt.com" TargetMode="External"/><Relationship Id="rId20" Type="http://schemas.openxmlformats.org/officeDocument/2006/relationships/hyperlink" Target="https://pmc.ncbi.nlm.nih.gov/articles/12908567/?utm_source=chatgpt.com" TargetMode="External"/><Relationship Id="rId1" Type="http://schemas.openxmlformats.org/officeDocument/2006/relationships/styles" Target="styles.xml"/><Relationship Id="rId6" Type="http://schemas.openxmlformats.org/officeDocument/2006/relationships/hyperlink" Target="https://ascopubs.org/doi/full/10.1200/EDBK_431554?utm_source=chatgpt.com" TargetMode="External"/><Relationship Id="rId11" Type="http://schemas.openxmlformats.org/officeDocument/2006/relationships/hyperlink" Target="https://www.fda.gov/drugs/resources-information-approved-drugs/fda-grants-accelerated-approval-dordaviprone-diffuse-midline-glioma?utm_source=chatgpt.com" TargetMode="External"/><Relationship Id="rId5" Type="http://schemas.openxmlformats.org/officeDocument/2006/relationships/hyperlink" Target="https://ascopubs.org/doi/10.1200/JCO.23.00857?utm_source=chatgpt.com" TargetMode="External"/><Relationship Id="rId15" Type="http://schemas.openxmlformats.org/officeDocument/2006/relationships/hyperlink" Target="https://ascopubs.org/doi/10.1200/JCO.23.02596?utm_source=chatgpt.com" TargetMode="External"/><Relationship Id="rId23" Type="http://schemas.openxmlformats.org/officeDocument/2006/relationships/theme" Target="theme/theme1.xml"/><Relationship Id="rId10" Type="http://schemas.openxmlformats.org/officeDocument/2006/relationships/hyperlink" Target="https://www.nice.org.uk/guidance/NG99/chapter/recommendations" TargetMode="External"/><Relationship Id="rId19" Type="http://schemas.openxmlformats.org/officeDocument/2006/relationships/hyperlink" Target="https://pubmed.ncbi.nlm.nih.gov/40595067/?utm_source=chatgpt.com" TargetMode="External"/><Relationship Id="rId4" Type="http://schemas.openxmlformats.org/officeDocument/2006/relationships/hyperlink" Target="https://www.nature.com/articles/s41574-023-00886-5?utm_source=chatgpt.com" TargetMode="External"/><Relationship Id="rId9" Type="http://schemas.openxmlformats.org/officeDocument/2006/relationships/hyperlink" Target="https://www.eano.eu/publications/eano-guidelines/eano-guidelines-for-palliative-care-in-adults-with-glioma/?utm_source=chatgpt.com" TargetMode="External"/><Relationship Id="rId14" Type="http://schemas.openxmlformats.org/officeDocument/2006/relationships/hyperlink" Target="https://pmc.ncbi.nlm.nih.gov/articles/12908567/?utm_source=chatgpt.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2256</Words>
  <Characters>13944</Characters>
  <Application>Microsoft Office Word</Application>
  <DocSecurity>0</DocSecurity>
  <Lines>210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 Sengupta</dc:creator>
  <cp:keywords/>
  <dc:description/>
  <cp:lastModifiedBy>Soma Sengupta</cp:lastModifiedBy>
  <cp:revision>1</cp:revision>
  <dcterms:created xsi:type="dcterms:W3CDTF">2026-10-06T19:55:00Z</dcterms:created>
  <dcterms:modified xsi:type="dcterms:W3CDTF">2026-10-06T20:13:00Z</dcterms:modified>
</cp:coreProperties>
</file>